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46"/>
    <w:p>
      <w:pPr>
        <w:pStyle w:val="Heading1"/>
      </w:pPr>
      <w:r>
        <w:t xml:space="preserve">Homiletics Analysis: Genesis 46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46 narrates Israel’s departure from Canaan to Egypt — the fulfillment of a long-anticipated but also deeply fraught movement in redemptive history. The chapter opens with Jacob stopping at Beersheba, the southernmost boundary of the promised land, where God appears to him in a vision of the night and explicitly commands him not to fear the descent into Egypt. God’s self-identification as the God of his father, the repetition of covenant promise, and the specific assurance that God Himself will bring the family back up are the theological spine of the chapter. The divine speech in verses 3–4 is followed immediately by the family’s obedient departure. The chapter then pivots to an extensive genealogical register (vv. 8–27) enumerating the seventy persons of the house of Jacob who came into Egypt — a number that serves not merely as census data but as a theological statement about the seedbed of the nation. The chapter closes with the emotional reunion of Jacob and Joseph, Joseph’s instruction about how to present the family to Pharaoh, and the practical staging of the settlement.</w:t>
      </w:r>
    </w:p>
    <w:p>
      <w:pPr>
        <w:pStyle w:val="BodyText"/>
      </w:pPr>
      <w:r>
        <w:rPr>
          <w:b/>
          <w:bCs/>
        </w:rPr>
        <w:t xml:space="preserve">This Text — Intent:</w:t>
      </w:r>
    </w:p>
    <w:p>
      <w:pPr>
        <w:pStyle w:val="BodyText"/>
      </w:pPr>
      <w:r>
        <w:t xml:space="preserve">God is seeking to assure His people that movements that appear to be retreats from promise are in fact advances under His sovereign direction. Jacob’s descent into Egypt looks like the abandonment of the promised land, and the text knows this — which is why the divine reassurance appears precisely at Beersheba, the border. The genealogical register and the reunion narrative reinforce what the divine speech established: God has not forgotten the covenant, has not lost the people, and is not surprised by the circumstances. The intent is pastoral and theological simultaneously — confronting the reader’s tendency to read providential displacement as divine abandonment, and replacing that anxiety with the assurance that God goes down with His people and personally undertakes to bring them back up.</w:t>
      </w:r>
    </w:p>
    <w:p>
      <w:r>
        <w:pict>
          <v:rect style="width:0;height:1.5pt" o:hralign="center" o:hrstd="t" o:hr="t"/>
        </w:pict>
      </w:r>
    </w:p>
    <w:p>
      <w:pPr>
        <w:pStyle w:val="FirstParagraph"/>
      </w:pPr>
      <w:r>
        <w:rPr>
          <w:b/>
          <w:bCs/>
        </w:rPr>
        <w:t xml:space="preserve">Subject Sentence:</w:t>
      </w:r>
      <w:r>
        <w:t xml:space="preserve"> </w:t>
      </w:r>
      <w:r>
        <w:t xml:space="preserve">God personally accompanies His covenant people into Egypt, keeping the promise alive through displacement.</w:t>
      </w:r>
    </w:p>
    <w:p>
      <w:r>
        <w:pict>
          <v:rect style="width:0;height:1.5pt" o:hralign="center" o:hrstd="t" o:hr="t"/>
        </w:pict>
      </w:r>
    </w:p>
    <w:p>
      <w:pPr>
        <w:pStyle w:val="FirstParagraph"/>
      </w:pPr>
      <w:r>
        <w:rPr>
          <w:b/>
          <w:bCs/>
        </w:rPr>
        <w:t xml:space="preserve">Primary Claim:</w:t>
      </w:r>
      <w:r>
        <w:t xml:space="preserve"> </w:t>
      </w:r>
      <w:r>
        <w:t xml:space="preserve">The descent into Egypt is not the failure of God’s promises but their continuation under sovereign providence — God goes with His people into every darkness, and His word of return makes the going bearable.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function of Beersheba</w:t>
      </w:r>
      <w:r>
        <w:t xml:space="preserve">: Some interpreters read Jacob’s stop at Beersheba primarily as a geographical or logistical note — the last southern waypoint before Sinai. This reading is accurate as far as it goes but misses the theological weight. Beersheba is loaded with patriarchal memory: it is where Abraham made covenant with Abimelech (Genesis 21), where Hagar was sent out and sustained (Genesis 21), where Isaac received divine reassurance (Genesis 26:23–25), and where Jacob himself had fled years earlier. The stop here is not incidental. The text is positioning Jacob at a threshold charged with covenant history, and the divine vision is God’s response to an unspoken anxiety about crossing that threshold. The Reformed reading emphasizes the intentionality of this moment: God appears here, not elsewhere, because this is where the fear lives. The pastoral force of the text depends on reading Beersheba as a charged boundary, not a roadside stop.</w:t>
      </w:r>
    </w:p>
    <w:p>
      <w:pPr>
        <w:pStyle w:val="BodyText"/>
      </w:pPr>
      <w:r>
        <w:rPr>
          <w:b/>
          <w:bCs/>
        </w:rPr>
        <w:t xml:space="preserve">The genealogical register (vv. 8–27)</w:t>
      </w:r>
      <w:r>
        <w:t xml:space="preserve">: Dispensational and some conservative Baptist interpreters occasionally treat the seventy-person count as primarily prophetic — anticipating the later numerological significance of seventy in Israel’s history (Exodus 1:5, Deuteronomy 10:22, the seventy elders, the seventy weeks of Daniel). This canonical resonance is worth noting and partially valid. However, the Reformed reading resists making the primary function of the list prophetic rather than theological-narrative. The list does what genealogies do in Genesis: it demonstrates God’s fidelity to His covenant promises by showing that the seed is real, numerous, and named. This is not an anonymous mass movement — these are persons under covenant promise. The Arminian and Wesleyan traditions tend to foreground the human decision-making and family solidarity visible in the narrative; this is a legitimate observation but should not displace the theological center, which is God’s sovereign direction of the whole movement.</w:t>
      </w:r>
    </w:p>
    <w:p>
      <w:pPr>
        <w:pStyle w:val="BodyText"/>
      </w:pPr>
      <w:r>
        <w:rPr>
          <w:b/>
          <w:bCs/>
        </w:rPr>
        <w:t xml:space="preserve">The divine speech (vv. 3–4)</w:t>
      </w:r>
      <w:r>
        <w:t xml:space="preserve">: Pentecostal/Charismatic interpretation occasionally reads the night vision as a template for seeking confirmatory divine speech before major life transitions — the application being that believers should wait for a word from God before significant moves. This reading imposes a normative framework the text does not support. The vision is given to Jacob, not sought by him; its function is sovereign reassurance, not a pattern for devotional practice. The Reformed reading resists converting a specific act of divine initiative into a general methodology. The application from this passage is not</w:t>
      </w:r>
      <w:r>
        <w:t xml:space="preserve"> </w:t>
      </w:r>
      <w:r>
        <w:t xml:space="preserve">“seek a night vision before moving”</w:t>
      </w:r>
      <w:r>
        <w:t xml:space="preserve"> </w:t>
      </w:r>
      <w:r>
        <w:t xml:space="preserve">but</w:t>
      </w:r>
      <w:r>
        <w:t xml:space="preserve"> </w:t>
      </w:r>
      <w:r>
        <w:t xml:space="preserve">“trust that God accompanies and directs the movements of His people whether or not they receive explicit supernatural confirmation.”</w:t>
      </w:r>
    </w:p>
    <w:p>
      <w:pPr>
        <w:pStyle w:val="BodyText"/>
      </w:pPr>
      <w:r>
        <w:rPr>
          <w:b/>
          <w:bCs/>
        </w:rPr>
        <w:t xml:space="preserve">“I will also surely bring you back up”</w:t>
      </w:r>
      <w:r>
        <w:rPr>
          <w:b/>
          <w:bCs/>
        </w:rPr>
        <w:t xml:space="preserve"> </w:t>
      </w:r>
      <w:r>
        <w:rPr>
          <w:b/>
          <w:bCs/>
        </w:rPr>
        <w:t xml:space="preserve">(v. 4)</w:t>
      </w:r>
      <w:r>
        <w:t xml:space="preserve">: Some interpreters read this promise as fulfilled in Joseph’s eventual repatriation of Jacob’s bones (Genesis 50) or in the Exodus. Both are true and both have textual support. The Reformed reading does not force an exclusive either/or — the promise operates at multiple levels simultaneously, as is characteristic of covenant promise. The immediate comfort is for Jacob personally; the canonical fulfillment is the Exodus; the eschatological shape of the promise points to ultimate homecoming. This multi-layered fulfillment is not hermeneutical looseness — it reflects the structure of covenant promise itself, which characteristically addresses immediate need while simultaneously reaching further than the recipient can see.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15:13–16</w:t>
      </w:r>
      <w:r>
        <w:t xml:space="preserve"> </w:t>
      </w:r>
      <w:r>
        <w:t xml:space="preserve">— God told Abram directly that his descendants would sojourn in a foreign land for four hundred years and then come out. The descent in Genesis 46 is the fulfillment of this forewarned movement, demonstrating that nothing is happening outside God’s prior plan.</w:t>
      </w:r>
    </w:p>
    <w:p>
      <w:pPr>
        <w:numPr>
          <w:ilvl w:val="0"/>
          <w:numId w:val="1001"/>
        </w:numPr>
      </w:pPr>
      <w:r>
        <w:rPr>
          <w:b/>
          <w:bCs/>
        </w:rPr>
        <w:t xml:space="preserve">Exodus 1:1–7; 3:7–8</w:t>
      </w:r>
      <w:r>
        <w:t xml:space="preserve"> </w:t>
      </w:r>
      <w:r>
        <w:t xml:space="preserve">— The seventy persons who went down (Genesis 46:27) become the teeming multitude of Exodus 1, confirming the genealogical register’s theological force; God’s declaration in Exodus 3 that He has seen the affliction and is coming down to bring them up echoes and fulfills the promise of Genesis 46:4.</w:t>
      </w:r>
    </w:p>
    <w:p>
      <w:pPr>
        <w:numPr>
          <w:ilvl w:val="0"/>
          <w:numId w:val="1001"/>
        </w:numPr>
      </w:pPr>
      <w:r>
        <w:rPr>
          <w:b/>
          <w:bCs/>
        </w:rPr>
        <w:t xml:space="preserve">Deuteronomy 26:5–9</w:t>
      </w:r>
      <w:r>
        <w:t xml:space="preserve"> </w:t>
      </w:r>
      <w:r>
        <w:t xml:space="preserve">— The Israelite confession of faith (</w:t>
      </w:r>
      <w:r>
        <w:t xml:space="preserve">“a wandering Aramean was my father…”</w:t>
      </w:r>
      <w:r>
        <w:t xml:space="preserve">) rehearses the descent into Egypt and the exodus as the constitutive act of national covenant identity — the movement narrated in Genesis 46 is enshrined as Israel’s core creed.</w:t>
      </w:r>
    </w:p>
    <w:p>
      <w:pPr>
        <w:numPr>
          <w:ilvl w:val="0"/>
          <w:numId w:val="1001"/>
        </w:numPr>
      </w:pPr>
      <w:r>
        <w:rPr>
          <w:b/>
          <w:bCs/>
        </w:rPr>
        <w:t xml:space="preserve">Isaiah 43:1–5</w:t>
      </w:r>
      <w:r>
        <w:t xml:space="preserve"> </w:t>
      </w:r>
      <w:r>
        <w:t xml:space="preserve">—</w:t>
      </w:r>
      <w:r>
        <w:t xml:space="preserve"> </w:t>
      </w:r>
      <w:r>
        <w:t xml:space="preserve">“Fear not, for I have redeemed you… When you pass through the waters, I will be with you”</w:t>
      </w:r>
      <w:r>
        <w:t xml:space="preserve"> </w:t>
      </w:r>
      <w:r>
        <w:t xml:space="preserve">— the same</w:t>
      </w:r>
      <w:r>
        <w:t xml:space="preserve"> </w:t>
      </w:r>
      <w:r>
        <w:t xml:space="preserve">“fear not”</w:t>
      </w:r>
      <w:r>
        <w:t xml:space="preserve"> </w:t>
      </w:r>
      <w:r>
        <w:t xml:space="preserve">/ divine accompaniment structure of Genesis 46:3–4 extended as a prophetic assurance, demonstrating that this is not a one-time word but God’s characteristic posture toward His people in displacement.</w:t>
      </w:r>
    </w:p>
    <w:p>
      <w:pPr>
        <w:numPr>
          <w:ilvl w:val="0"/>
          <w:numId w:val="1001"/>
        </w:numPr>
      </w:pPr>
      <w:r>
        <w:rPr>
          <w:b/>
          <w:bCs/>
        </w:rPr>
        <w:t xml:space="preserve">Matthew 2:13–15</w:t>
      </w:r>
      <w:r>
        <w:t xml:space="preserve"> </w:t>
      </w:r>
      <w:r>
        <w:t xml:space="preserve">— The flight to Egypt and return (</w:t>
      </w:r>
      <w:r>
        <w:t xml:space="preserve">“Out of Egypt I have called my son”</w:t>
      </w:r>
      <w:r>
        <w:t xml:space="preserve">) typologically recapitulates the Genesis 46 movement at the level of Christ Himself — the ultimate descendant of Jacob goes down into Egypt and comes back up, fulfilling in one person what the nation enacted collectively.</w:t>
      </w:r>
    </w:p>
    <w:p>
      <w:r>
        <w:pict>
          <v:rect style="width:0;height:1.5pt" o:hralign="center" o:hrstd="t" o:hr="t"/>
        </w:pict>
      </w:r>
    </w:p>
    <w:p>
      <w:pPr>
        <w:pStyle w:val="FirstParagraph"/>
      </w:pPr>
      <w:r>
        <w:rPr>
          <w:b/>
          <w:bCs/>
        </w:rPr>
        <w:t xml:space="preserve">Aim:</w:t>
      </w:r>
      <w:r>
        <w:t xml:space="preserve"> </w:t>
      </w:r>
      <w:r>
        <w:t xml:space="preserve">To demonstrate that providential displacement — circumstances that appear to move away from God’s promises — is not divine abandonment but divine accompaniment, and to ground the reader’s confidence in God’s explicit commitment to return His people to their inheritance.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Israel sets out from Beersheba with all his possessions</w:t>
            </w:r>
          </w:p>
        </w:tc>
        <w:tc>
          <w:tcPr/>
          <w:p>
            <w:pPr>
              <w:pStyle w:val="Compact"/>
            </w:pPr>
            <w:r>
              <w:t xml:space="preserve">“Israel”</w:t>
            </w:r>
            <w:r>
              <w:t xml:space="preserve"> </w:t>
            </w:r>
            <w:r>
              <w:t xml:space="preserve">— covenant name used deliberately at this threshold moment</w:t>
            </w:r>
          </w:p>
        </w:tc>
      </w:tr>
      <w:tr>
        <w:tc>
          <w:tcPr/>
          <w:p>
            <w:pPr>
              <w:pStyle w:val="Compact"/>
            </w:pPr>
            <w:r>
              <w:t xml:space="preserve">1b</w:t>
            </w:r>
          </w:p>
        </w:tc>
        <w:tc>
          <w:tcPr/>
          <w:p>
            <w:pPr>
              <w:pStyle w:val="Compact"/>
            </w:pPr>
            <w:r>
              <w:t xml:space="preserve">Jacob offers sacrifices to the God of his father Isaac</w:t>
            </w:r>
          </w:p>
        </w:tc>
        <w:tc>
          <w:tcPr/>
          <w:p>
            <w:pPr>
              <w:pStyle w:val="Compact"/>
            </w:pPr>
            <w:r>
              <w:t xml:space="preserve">Worship at the boundary; anchoring the move in covenant relationship</w:t>
            </w:r>
          </w:p>
        </w:tc>
      </w:tr>
      <w:tr>
        <w:tc>
          <w:tcPr/>
          <w:p>
            <w:pPr>
              <w:pStyle w:val="Compact"/>
            </w:pPr>
            <w:r>
              <w:t xml:space="preserve">2</w:t>
            </w:r>
          </w:p>
        </w:tc>
        <w:tc>
          <w:tcPr/>
          <w:p>
            <w:pPr>
              <w:pStyle w:val="Compact"/>
            </w:pPr>
            <w:r>
              <w:t xml:space="preserve">God speaks to Israel in visions of the night; calls his name twice</w:t>
            </w:r>
          </w:p>
        </w:tc>
        <w:tc>
          <w:tcPr/>
          <w:p>
            <w:pPr>
              <w:pStyle w:val="Compact"/>
            </w:pPr>
            <w:r>
              <w:t xml:space="preserve">Double-naming signals urgency and personal address; cf. Genesis 22:1</w:t>
            </w:r>
          </w:p>
        </w:tc>
      </w:tr>
      <w:tr>
        <w:tc>
          <w:tcPr/>
          <w:p>
            <w:pPr>
              <w:pStyle w:val="Compact"/>
            </w:pPr>
            <w:r>
              <w:t xml:space="preserve">3a</w:t>
            </w:r>
          </w:p>
        </w:tc>
        <w:tc>
          <w:tcPr/>
          <w:p>
            <w:pPr>
              <w:pStyle w:val="Compact"/>
            </w:pPr>
            <w:r>
              <w:t xml:space="preserve">“I am God, the God of your father”</w:t>
            </w:r>
          </w:p>
        </w:tc>
        <w:tc>
          <w:tcPr/>
          <w:p>
            <w:pPr>
              <w:pStyle w:val="Compact"/>
            </w:pPr>
            <w:r>
              <w:t xml:space="preserve">Self-identification grounds what follows in covenant fidelity</w:t>
            </w:r>
          </w:p>
        </w:tc>
      </w:tr>
      <w:tr>
        <w:tc>
          <w:tcPr/>
          <w:p>
            <w:pPr>
              <w:pStyle w:val="Compact"/>
            </w:pPr>
            <w:r>
              <w:t xml:space="preserve">3b</w:t>
            </w:r>
          </w:p>
        </w:tc>
        <w:tc>
          <w:tcPr/>
          <w:p>
            <w:pPr>
              <w:pStyle w:val="Compact"/>
            </w:pPr>
            <w:r>
              <w:t xml:space="preserve">“Do not be afraid to go down to Egypt”</w:t>
            </w:r>
          </w:p>
        </w:tc>
        <w:tc>
          <w:tcPr/>
          <w:p>
            <w:pPr>
              <w:pStyle w:val="Compact"/>
            </w:pPr>
            <w:r>
              <w:t xml:space="preserve">Explicit divine command addressing the fear the text knows is present</w:t>
            </w:r>
          </w:p>
        </w:tc>
      </w:tr>
      <w:tr>
        <w:tc>
          <w:tcPr/>
          <w:p>
            <w:pPr>
              <w:pStyle w:val="Compact"/>
            </w:pPr>
            <w:r>
              <w:t xml:space="preserve">3c</w:t>
            </w:r>
          </w:p>
        </w:tc>
        <w:tc>
          <w:tcPr/>
          <w:p>
            <w:pPr>
              <w:pStyle w:val="Compact"/>
            </w:pPr>
            <w:r>
              <w:t xml:space="preserve">“I will make you a great nation there”</w:t>
            </w:r>
          </w:p>
        </w:tc>
        <w:tc>
          <w:tcPr/>
          <w:p>
            <w:pPr>
              <w:pStyle w:val="Compact"/>
            </w:pPr>
            <w:r>
              <w:t xml:space="preserve">Covenant promise of multiplication attached directly to Egypt, not Canaan</w:t>
            </w:r>
          </w:p>
        </w:tc>
      </w:tr>
      <w:tr>
        <w:tc>
          <w:tcPr/>
          <w:p>
            <w:pPr>
              <w:pStyle w:val="Compact"/>
            </w:pPr>
            <w:r>
              <w:t xml:space="preserve">4a</w:t>
            </w:r>
          </w:p>
        </w:tc>
        <w:tc>
          <w:tcPr/>
          <w:p>
            <w:pPr>
              <w:pStyle w:val="Compact"/>
            </w:pPr>
            <w:r>
              <w:t xml:space="preserve">“I myself will go down with you into Egypt”</w:t>
            </w:r>
          </w:p>
        </w:tc>
        <w:tc>
          <w:tcPr/>
          <w:p>
            <w:pPr>
              <w:pStyle w:val="Compact"/>
            </w:pPr>
            <w:r>
              <w:t xml:space="preserve">The heart of the passage: God’s personal accompaniment announced</w:t>
            </w:r>
          </w:p>
        </w:tc>
      </w:tr>
      <w:tr>
        <w:tc>
          <w:tcPr/>
          <w:p>
            <w:pPr>
              <w:pStyle w:val="Compact"/>
            </w:pPr>
            <w:r>
              <w:t xml:space="preserve">4b</w:t>
            </w:r>
          </w:p>
        </w:tc>
        <w:tc>
          <w:tcPr/>
          <w:p>
            <w:pPr>
              <w:pStyle w:val="Compact"/>
            </w:pPr>
            <w:r>
              <w:t xml:space="preserve">“I will also bring you up again”</w:t>
            </w:r>
          </w:p>
        </w:tc>
        <w:tc>
          <w:tcPr/>
          <w:p>
            <w:pPr>
              <w:pStyle w:val="Compact"/>
            </w:pPr>
            <w:r>
              <w:t xml:space="preserve">Promise of return; operative at multiple levels simultaneously</w:t>
            </w:r>
          </w:p>
        </w:tc>
      </w:tr>
      <w:tr>
        <w:tc>
          <w:tcPr/>
          <w:p>
            <w:pPr>
              <w:pStyle w:val="Compact"/>
            </w:pPr>
            <w:r>
              <w:t xml:space="preserve">4c</w:t>
            </w:r>
          </w:p>
        </w:tc>
        <w:tc>
          <w:tcPr/>
          <w:p>
            <w:pPr>
              <w:pStyle w:val="Compact"/>
            </w:pPr>
            <w:r>
              <w:t xml:space="preserve">“Joseph’s hand shall close your eyes”</w:t>
            </w:r>
          </w:p>
        </w:tc>
        <w:tc>
          <w:tcPr/>
          <w:p>
            <w:pPr>
              <w:pStyle w:val="Compact"/>
            </w:pPr>
            <w:r>
              <w:t xml:space="preserve">Personal, intimate promise — Jacob will die in the presence of his son</w:t>
            </w:r>
          </w:p>
        </w:tc>
      </w:tr>
      <w:tr>
        <w:tc>
          <w:tcPr/>
          <w:p>
            <w:pPr>
              <w:pStyle w:val="Compact"/>
            </w:pPr>
            <w:r>
              <w:t xml:space="preserve">5–7</w:t>
            </w:r>
          </w:p>
        </w:tc>
        <w:tc>
          <w:tcPr/>
          <w:p>
            <w:pPr>
              <w:pStyle w:val="Compact"/>
            </w:pPr>
            <w:r>
              <w:t xml:space="preserve">Jacob and all his household depart Beersheba; sons carry Jacob, their children, their wives</w:t>
            </w:r>
          </w:p>
        </w:tc>
        <w:tc>
          <w:tcPr/>
          <w:p>
            <w:pPr>
              <w:pStyle w:val="Compact"/>
            </w:pPr>
            <w:r>
              <w:t xml:space="preserve">Obedient departure immediately following divine reassurance</w:t>
            </w:r>
          </w:p>
        </w:tc>
      </w:tr>
      <w:tr>
        <w:tc>
          <w:tcPr/>
          <w:p>
            <w:pPr>
              <w:pStyle w:val="Compact"/>
            </w:pPr>
            <w:r>
              <w:t xml:space="preserve">8–15</w:t>
            </w:r>
          </w:p>
        </w:tc>
        <w:tc>
          <w:tcPr/>
          <w:p>
            <w:pPr>
              <w:pStyle w:val="Compact"/>
            </w:pPr>
            <w:r>
              <w:t xml:space="preserve">Sons of Leah and their children enumerated</w:t>
            </w:r>
          </w:p>
        </w:tc>
        <w:tc>
          <w:tcPr/>
          <w:p>
            <w:pPr>
              <w:pStyle w:val="Compact"/>
            </w:pPr>
            <w:r>
              <w:t xml:space="preserve">Genealogical register begins; Leah’s line listed first</w:t>
            </w:r>
          </w:p>
        </w:tc>
      </w:tr>
      <w:tr>
        <w:tc>
          <w:tcPr/>
          <w:p>
            <w:pPr>
              <w:pStyle w:val="Compact"/>
            </w:pPr>
            <w:r>
              <w:t xml:space="preserve">16–18</w:t>
            </w:r>
          </w:p>
        </w:tc>
        <w:tc>
          <w:tcPr/>
          <w:p>
            <w:pPr>
              <w:pStyle w:val="Compact"/>
            </w:pPr>
            <w:r>
              <w:t xml:space="preserve">Sons of Zilpah (Leah’s servant) and their children</w:t>
            </w:r>
          </w:p>
        </w:tc>
        <w:tc>
          <w:tcPr/>
          <w:p>
            <w:pPr>
              <w:pStyle w:val="Compact"/>
            </w:pPr>
            <w:r>
              <w:t xml:space="preserve">Servant-wife line included within the covenant count</w:t>
            </w:r>
          </w:p>
        </w:tc>
      </w:tr>
      <w:tr>
        <w:tc>
          <w:tcPr/>
          <w:p>
            <w:pPr>
              <w:pStyle w:val="Compact"/>
            </w:pPr>
            <w:r>
              <w:t xml:space="preserve">19–22</w:t>
            </w:r>
          </w:p>
        </w:tc>
        <w:tc>
          <w:tcPr/>
          <w:p>
            <w:pPr>
              <w:pStyle w:val="Compact"/>
            </w:pPr>
            <w:r>
              <w:t xml:space="preserve">Sons of Rachel and their children</w:t>
            </w:r>
          </w:p>
        </w:tc>
        <w:tc>
          <w:tcPr/>
          <w:p>
            <w:pPr>
              <w:pStyle w:val="Compact"/>
            </w:pPr>
            <w:r>
              <w:t xml:space="preserve">Joseph already in Egypt; Benjamin’s line notably extended</w:t>
            </w:r>
          </w:p>
        </w:tc>
      </w:tr>
      <w:tr>
        <w:tc>
          <w:tcPr/>
          <w:p>
            <w:pPr>
              <w:pStyle w:val="Compact"/>
            </w:pPr>
            <w:r>
              <w:t xml:space="preserve">23–25</w:t>
            </w:r>
          </w:p>
        </w:tc>
        <w:tc>
          <w:tcPr/>
          <w:p>
            <w:pPr>
              <w:pStyle w:val="Compact"/>
            </w:pPr>
            <w:r>
              <w:t xml:space="preserve">Sons of Bilhah (Rachel’s servant) and their children</w:t>
            </w:r>
          </w:p>
        </w:tc>
        <w:tc>
          <w:tcPr/>
          <w:p>
            <w:pPr>
              <w:pStyle w:val="Compact"/>
            </w:pPr>
            <w:r>
              <w:t xml:space="preserve">Complete enumeration: all four lines represented</w:t>
            </w:r>
          </w:p>
        </w:tc>
      </w:tr>
      <w:tr>
        <w:tc>
          <w:tcPr/>
          <w:p>
            <w:pPr>
              <w:pStyle w:val="Compact"/>
            </w:pPr>
            <w:r>
              <w:t xml:space="preserve">26</w:t>
            </w:r>
          </w:p>
        </w:tc>
        <w:tc>
          <w:tcPr/>
          <w:p>
            <w:pPr>
              <w:pStyle w:val="Compact"/>
            </w:pPr>
            <w:r>
              <w:t xml:space="preserve">Sixty-six persons of Jacob’s own body came into Egypt</w:t>
            </w:r>
          </w:p>
        </w:tc>
        <w:tc>
          <w:tcPr/>
          <w:p>
            <w:pPr>
              <w:pStyle w:val="Compact"/>
            </w:pPr>
            <w:r>
              <w:t xml:space="preserve">Direct genealogical count excluding Joseph and his sons</w:t>
            </w:r>
          </w:p>
        </w:tc>
      </w:tr>
      <w:tr>
        <w:tc>
          <w:tcPr/>
          <w:p>
            <w:pPr>
              <w:pStyle w:val="Compact"/>
            </w:pPr>
            <w:r>
              <w:t xml:space="preserve">27</w:t>
            </w:r>
          </w:p>
        </w:tc>
        <w:tc>
          <w:tcPr/>
          <w:p>
            <w:pPr>
              <w:pStyle w:val="Compact"/>
            </w:pPr>
            <w:r>
              <w:t xml:space="preserve">With Joseph’s two sons, the total is seventy</w:t>
            </w:r>
          </w:p>
        </w:tc>
        <w:tc>
          <w:tcPr/>
          <w:p>
            <w:pPr>
              <w:pStyle w:val="Compact"/>
            </w:pPr>
            <w:r>
              <w:t xml:space="preserve">Seventy: covenant-symbolic number; cf. Exodus 1:5; Deuteronomy 10:22</w:t>
            </w:r>
          </w:p>
        </w:tc>
      </w:tr>
      <w:tr>
        <w:tc>
          <w:tcPr/>
          <w:p>
            <w:pPr>
              <w:pStyle w:val="Compact"/>
            </w:pPr>
            <w:r>
              <w:t xml:space="preserve">28</w:t>
            </w:r>
          </w:p>
        </w:tc>
        <w:tc>
          <w:tcPr/>
          <w:p>
            <w:pPr>
              <w:pStyle w:val="Compact"/>
            </w:pPr>
            <w:r>
              <w:t xml:space="preserve">Judah sent ahead to Joseph to prepare the way to Goshen</w:t>
            </w:r>
          </w:p>
        </w:tc>
        <w:tc>
          <w:tcPr/>
          <w:p>
            <w:pPr>
              <w:pStyle w:val="Compact"/>
            </w:pPr>
            <w:r>
              <w:t xml:space="preserve">Judah’s leadership role continues to develop; cf. Genesis 44:16–34</w:t>
            </w:r>
          </w:p>
        </w:tc>
      </w:tr>
      <w:tr>
        <w:tc>
          <w:tcPr/>
          <w:p>
            <w:pPr>
              <w:pStyle w:val="Compact"/>
            </w:pPr>
            <w:r>
              <w:t xml:space="preserve">29</w:t>
            </w:r>
          </w:p>
        </w:tc>
        <w:tc>
          <w:tcPr/>
          <w:p>
            <w:pPr>
              <w:pStyle w:val="Compact"/>
            </w:pPr>
            <w:r>
              <w:t xml:space="preserve">Joseph harnesses his chariot and comes to Goshen to meet his father</w:t>
            </w:r>
          </w:p>
        </w:tc>
        <w:tc>
          <w:tcPr/>
          <w:p>
            <w:pPr>
              <w:pStyle w:val="Compact"/>
            </w:pPr>
            <w:r>
              <w:t xml:space="preserve">Joseph’s initiative; honor paid to Jacob</w:t>
            </w:r>
          </w:p>
        </w:tc>
      </w:tr>
      <w:tr>
        <w:tc>
          <w:tcPr/>
          <w:p>
            <w:pPr>
              <w:pStyle w:val="Compact"/>
            </w:pPr>
            <w:r>
              <w:t xml:space="preserve">30</w:t>
            </w:r>
          </w:p>
        </w:tc>
        <w:tc>
          <w:tcPr/>
          <w:p>
            <w:pPr>
              <w:pStyle w:val="Compact"/>
            </w:pPr>
            <w:r>
              <w:t xml:space="preserve">Jacob:</w:t>
            </w:r>
            <w:r>
              <w:t xml:space="preserve"> </w:t>
            </w:r>
            <w:r>
              <w:t xml:space="preserve">“Now let me die, since I have seen your face”</w:t>
            </w:r>
          </w:p>
        </w:tc>
        <w:tc>
          <w:tcPr/>
          <w:p>
            <w:pPr>
              <w:pStyle w:val="Compact"/>
            </w:pPr>
            <w:r>
              <w:t xml:space="preserve">Simeon’s canticle anticipates Nunc Dimittis; covenant satisfaction</w:t>
            </w:r>
          </w:p>
        </w:tc>
      </w:tr>
      <w:tr>
        <w:tc>
          <w:tcPr/>
          <w:p>
            <w:pPr>
              <w:pStyle w:val="Compact"/>
            </w:pPr>
            <w:r>
              <w:t xml:space="preserve">31–32</w:t>
            </w:r>
          </w:p>
        </w:tc>
        <w:tc>
          <w:tcPr/>
          <w:p>
            <w:pPr>
              <w:pStyle w:val="Compact"/>
            </w:pPr>
            <w:r>
              <w:t xml:space="preserve">Joseph instructs his family on what to say to Pharaoh about their occupation</w:t>
            </w:r>
          </w:p>
        </w:tc>
        <w:tc>
          <w:tcPr/>
          <w:p>
            <w:pPr>
              <w:pStyle w:val="Compact"/>
            </w:pPr>
            <w:r>
              <w:t xml:space="preserve">Pastoral wisdom; shepherds are an abomination to Egyptians — separation maintained</w:t>
            </w:r>
          </w:p>
        </w:tc>
      </w:tr>
      <w:tr>
        <w:tc>
          <w:tcPr/>
          <w:p>
            <w:pPr>
              <w:pStyle w:val="Compact"/>
            </w:pPr>
            <w:r>
              <w:t xml:space="preserve">33–34</w:t>
            </w:r>
          </w:p>
        </w:tc>
        <w:tc>
          <w:tcPr/>
          <w:p>
            <w:pPr>
              <w:pStyle w:val="Compact"/>
            </w:pPr>
            <w:r>
              <w:t xml:space="preserve">Family coached to declare themselves keepers of livestock to secure Goshen settlement</w:t>
            </w:r>
          </w:p>
        </w:tc>
        <w:tc>
          <w:tcPr/>
          <w:p>
            <w:pPr>
              <w:pStyle w:val="Compact"/>
            </w:pPr>
            <w:r>
              <w:t xml:space="preserve">Goshen: geographic and cultural separation preserving the covenant community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Threshold Vision: God Commands the Descent and Promises Return</w:t>
            </w:r>
          </w:p>
        </w:tc>
      </w:tr>
      <w:tr>
        <w:tc>
          <w:tcPr/>
          <w:p>
            <w:pPr>
              <w:pStyle w:val="Compact"/>
            </w:pPr>
            <w:r>
              <w:t xml:space="preserve">2</w:t>
            </w:r>
          </w:p>
        </w:tc>
        <w:tc>
          <w:tcPr/>
          <w:p>
            <w:pPr>
              <w:pStyle w:val="Compact"/>
            </w:pPr>
            <w:r>
              <w:t xml:space="preserve">5–7</w:t>
            </w:r>
          </w:p>
        </w:tc>
        <w:tc>
          <w:tcPr/>
          <w:p>
            <w:pPr>
              <w:pStyle w:val="Compact"/>
            </w:pPr>
            <w:r>
              <w:t xml:space="preserve">Obedient Departure: The Whole Household Follows the Word</w:t>
            </w:r>
          </w:p>
        </w:tc>
      </w:tr>
      <w:tr>
        <w:tc>
          <w:tcPr/>
          <w:p>
            <w:pPr>
              <w:pStyle w:val="Compact"/>
            </w:pPr>
            <w:r>
              <w:t xml:space="preserve">3</w:t>
            </w:r>
          </w:p>
        </w:tc>
        <w:tc>
          <w:tcPr/>
          <w:p>
            <w:pPr>
              <w:pStyle w:val="Compact"/>
            </w:pPr>
            <w:r>
              <w:t xml:space="preserve">8–27</w:t>
            </w:r>
          </w:p>
        </w:tc>
        <w:tc>
          <w:tcPr/>
          <w:p>
            <w:pPr>
              <w:pStyle w:val="Compact"/>
            </w:pPr>
            <w:r>
              <w:t xml:space="preserve">The Register of the Seventy: God’s Covenant Seed Named and Counted</w:t>
            </w:r>
          </w:p>
        </w:tc>
      </w:tr>
      <w:tr>
        <w:tc>
          <w:tcPr/>
          <w:p>
            <w:pPr>
              <w:pStyle w:val="Compact"/>
            </w:pPr>
            <w:r>
              <w:t xml:space="preserve">4</w:t>
            </w:r>
          </w:p>
        </w:tc>
        <w:tc>
          <w:tcPr/>
          <w:p>
            <w:pPr>
              <w:pStyle w:val="Compact"/>
            </w:pPr>
            <w:r>
              <w:t xml:space="preserve">28–30</w:t>
            </w:r>
          </w:p>
        </w:tc>
        <w:tc>
          <w:tcPr/>
          <w:p>
            <w:pPr>
              <w:pStyle w:val="Compact"/>
            </w:pPr>
            <w:r>
              <w:t xml:space="preserve">The Reunion: Jacob and Joseph Restored; Jacob’s Covenant Contentment</w:t>
            </w:r>
          </w:p>
        </w:tc>
      </w:tr>
      <w:tr>
        <w:tc>
          <w:tcPr/>
          <w:p>
            <w:pPr>
              <w:pStyle w:val="Compact"/>
            </w:pPr>
            <w:r>
              <w:t xml:space="preserve">5</w:t>
            </w:r>
          </w:p>
        </w:tc>
        <w:tc>
          <w:tcPr/>
          <w:p>
            <w:pPr>
              <w:pStyle w:val="Compact"/>
            </w:pPr>
            <w:r>
              <w:t xml:space="preserve">31–34</w:t>
            </w:r>
          </w:p>
        </w:tc>
        <w:tc>
          <w:tcPr/>
          <w:p>
            <w:pPr>
              <w:pStyle w:val="Compact"/>
            </w:pPr>
            <w:r>
              <w:t xml:space="preserve">Preparation for Pharaoh: Wisdom, Separation, and Settling in Goshen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personally accompanies His covenant people into Egypt, keeping the promise alive through displacement.</w:t>
      </w:r>
    </w:p>
    <w:p>
      <w:pPr>
        <w:pStyle w:val="BodyText"/>
      </w:pPr>
      <w:r>
        <w:rPr>
          <w:b/>
          <w:bCs/>
        </w:rPr>
        <w:t xml:space="preserve">Primary Claim:</w:t>
      </w:r>
      <w:r>
        <w:t xml:space="preserve"> </w:t>
      </w:r>
      <w:r>
        <w:t xml:space="preserve">The descent into Egypt is not the failure of God’s promises but their continuation under sovereign providence — God goes with His people into every darkness, and His word of return makes the going bearable.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When circumstances appear to move you away from everything God has promised — when the geography of your life looks like retreat rather than advance — the interpretive key is not your assessment of the terrain but God’s word about where He is. Jacob crossed into Egypt not because he had reasoned out the providence but because God spoke. The application is cognitive and confessional: when circumstances contradict the promises, the promises are not cancelled; they are operating underground. Train your mind to read displacement through the lens of divine accompaniment rather than divine absence.</w:t>
      </w:r>
    </w:p>
    <w:p>
      <w:pPr>
        <w:pStyle w:val="BodyText"/>
      </w:pPr>
      <w:r>
        <w:rPr>
          <w:b/>
          <w:bCs/>
        </w:rPr>
        <w:t xml:space="preserve">2. (Affections/Worship)</w:t>
      </w:r>
      <w:r>
        <w:t xml:space="preserve"> </w:t>
      </w:r>
      <w:r>
        <w:t xml:space="preserve">Jacob’s first act at Beersheba is to offer sacrifices — not after the vision, but before it. He worships at the threshold of the unknown, before he knows what God is about to say. This is the affective pattern the text commends: worship that precedes certainty, trust that expresses itself before the word of reassurance arrives. Where are you standing at a threshold — a loss, a transition, an unwanted change — and have you yet offered your worship there, before you know how it resolves? The text calls you to bring your sacrifice to the border of the unknown and meet God there.</w:t>
      </w:r>
    </w:p>
    <w:p>
      <w:pPr>
        <w:pStyle w:val="BodyText"/>
      </w:pPr>
      <w:r>
        <w:rPr>
          <w:b/>
          <w:bCs/>
        </w:rPr>
        <w:t xml:space="preserve">3. (Will/Behavior)</w:t>
      </w:r>
      <w:r>
        <w:t xml:space="preserve"> </w:t>
      </w:r>
      <w:r>
        <w:t xml:space="preserve">Joseph’s practical wisdom in verses 31–34 — coaching the family on what to say to Pharaoh, securing Goshen, maintaining the separation that will preserve the covenant community — shows that divine accompaniment does not eliminate the need for prudent action. God’s</w:t>
      </w:r>
      <w:r>
        <w:t xml:space="preserve"> </w:t>
      </w:r>
      <w:r>
        <w:t xml:space="preserve">“I will go with you”</w:t>
      </w:r>
      <w:r>
        <w:t xml:space="preserve"> </w:t>
      </w:r>
      <w:r>
        <w:t xml:space="preserve">does not make planning unnecessary; it makes it possible. Identify one concrete area where you have been paralyzed between waiting on God and taking prudent action, and move — not recklessly, but in the confidence that God’s accompaniment provides both the ground and the guidance for practical wisdom.</w:t>
      </w:r>
    </w:p>
    <w:p>
      <w:pPr>
        <w:pStyle w:val="BodyText"/>
      </w:pPr>
      <w:r>
        <w:rPr>
          <w:b/>
          <w:bCs/>
        </w:rPr>
        <w:t xml:space="preserve">4. (Mind/Belief)</w:t>
      </w:r>
      <w:r>
        <w:t xml:space="preserve"> </w:t>
      </w:r>
      <w:r>
        <w:t xml:space="preserve">The seventy persons named in the genealogical register are the same seed from which millions will emerge. The register is a theological statement before it is a demographic one: God has not lost a single name. His purposes are not aggregate and impersonal — they are individual and precise. This passage calls every believer to reject the anonymity of despair, the sense that God’s large purposes have no room for the particulars of your situation. You are not a statistic in God’s plan. You are named in His register.</w:t>
      </w:r>
    </w:p>
    <w:p>
      <w:pPr>
        <w:pStyle w:val="BodyText"/>
      </w:pPr>
      <w:r>
        <w:rPr>
          <w:b/>
          <w:bCs/>
        </w:rPr>
        <w:t xml:space="preserve">5. (Affections/Worship)</w:t>
      </w:r>
      <w:r>
        <w:t xml:space="preserve"> </w:t>
      </w:r>
      <w:r>
        <w:t xml:space="preserve">Jacob’s words in verse 30 —</w:t>
      </w:r>
      <w:r>
        <w:t xml:space="preserve"> </w:t>
      </w:r>
      <w:r>
        <w:t xml:space="preserve">“Now let me die, since I have seen your face and know you are still alive”</w:t>
      </w:r>
      <w:r>
        <w:t xml:space="preserve"> </w:t>
      </w:r>
      <w:r>
        <w:t xml:space="preserve">— are the words of a man whose deepest fear has been met with its deepest answer. For years Jacob had lived under the grief of Joseph’s apparent death; the reunion is not just emotional resolution but covenant confirmation. What fear have you carried so long it has become part of your identity? The text invites you to hold that fear up against the God who says</w:t>
      </w:r>
      <w:r>
        <w:t xml:space="preserve"> </w:t>
      </w:r>
      <w:r>
        <w:t xml:space="preserve">“I myself will go down with you”</w:t>
      </w:r>
      <w:r>
        <w:t xml:space="preserve"> </w:t>
      </w:r>
      <w:r>
        <w:t xml:space="preserve">and ask whether the fear deserves the authority you have given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46 teaches that God’s sovereign will encompasses and directs movements that appear, from the ground level, to contradict His purposes. The promise of the land — the covenant inheritance that has defined the entire patriarchal narrative — is not suspended when Jacob crosses into Egypt; it is being advanced through the displacement. This reveals something essential about the character of God’s covenantal governance: He is not limited by the geography of promise. His purposes move forward through famine, family dysfunction, and foreign soil as readily as through blessing and abundance. The</w:t>
      </w:r>
      <w:r>
        <w:t xml:space="preserve"> </w:t>
      </w:r>
      <w:r>
        <w:t xml:space="preserve">“fear not”</w:t>
      </w:r>
      <w:r>
        <w:t xml:space="preserve"> </w:t>
      </w:r>
      <w:r>
        <w:t xml:space="preserve">of verse 3 is not a call to denial but to faith — specifically, faith in the identity of the One speaking (</w:t>
      </w:r>
      <w:r>
        <w:t xml:space="preserve">“I am God, the God of your father”</w:t>
      </w:r>
      <w:r>
        <w:t xml:space="preserve">) grounded in covenant history. God’s self-identification as the God of Isaac is not ceremonial; it is the theological credential that makes the command to not fear coherent.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46 is a foundational text for the Reformed doctrine of divine providence and its pastoral application. The classic Reformed understanding — that God governs all things according to His sovereign will including circumstances that appear to work against His promises — is here displayed narratively rather than propositionally. Jacob does not perceive or reason his way to confidence; God speaks, and the speaking creates the confidence. This is grace preceding and producing faith, not faith generating its own ground. The genealogical register reinforces the unconditional character of the Abrahamic covenant: these seventy persons are covenant recipients not because of their virtue (the narrative has made their failures amply clear) but because God named Abraham and said</w:t>
      </w:r>
      <w:r>
        <w:t xml:space="preserve"> </w:t>
      </w:r>
      <w:r>
        <w:t xml:space="preserve">“in your offspring.”</w:t>
      </w:r>
      <w:r>
        <w:t xml:space="preserve"> </w:t>
      </w:r>
      <w:r>
        <w:t xml:space="preserve">The total structure of the chapter — vision, promise, obedience, register, reunion — maps the shape of covenant life: God initiates, promises, accompanies, preserves the seed, and restores what was lost. The ultimate fulfillment of the</w:t>
      </w:r>
      <w:r>
        <w:t xml:space="preserve"> </w:t>
      </w:r>
      <w:r>
        <w:t xml:space="preserve">“I will bring you up”</w:t>
      </w:r>
      <w:r>
        <w:t xml:space="preserve"> </w:t>
      </w:r>
      <w:r>
        <w:t xml:space="preserve">in the Exodus, and its typological recapitulation in Christ’s own Egypt-and-return movement (Matthew 2), shows that this is not merely a chapter about one family’s migration but a paradigm for God’s redemptive pattern with His people in every generation.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stay in Canaan while His people go to Egypt. He said so Himself:</w:t>
      </w:r>
      <w:r>
        <w:t xml:space="preserve"> </w:t>
      </w:r>
      <w:r>
        <w:t xml:space="preserve">“I myself will go down with you.”</w:t>
      </w:r>
      <w:r>
        <w:t xml:space="preserve"> </w:t>
      </w:r>
      <w:r>
        <w:t xml:space="preserve">The displacement is real, the darkness is real, the fear is real — and none of it is outside His sovereign direction. Whatever Egypt you are being called to enter, or are already in, the word of the living God to you is the same word He gave to Jacob at the border: do not be afraid, I am with you, and I will bring you back up. Stop reading your circumstances as evidence about God’s presence. Read God’s promises as evidence about your circumstances.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genealogical register as a passage to skim or skip.</w:t>
      </w:r>
      <w:r>
        <w:t xml:space="preserve"> </w:t>
      </w:r>
      <w:r>
        <w:t xml:space="preserve">The list of seventy names in verses 8–27 occupies nearly half the chapter and is routinely treated as filler between the divine speech and the reunion narrative. This misreads the chapter’s architecture. The register is doing theological work: it names the covenant seed, demonstrates God’s precision and faithfulness, and sets up the contrast with Exodus 1’s explosion of numbers. A sermon that jumps from verse 7 to verse 28 has cut the heart out of the passage’s argument about God’s meticulous covenant fidelity.</w:t>
      </w:r>
    </w:p>
    <w:p>
      <w:pPr>
        <w:numPr>
          <w:ilvl w:val="0"/>
          <w:numId w:val="1002"/>
        </w:numPr>
      </w:pPr>
      <w:r>
        <w:rPr>
          <w:b/>
          <w:bCs/>
        </w:rPr>
        <w:t xml:space="preserve">Converting the night vision into a methodology for decision-making.</w:t>
      </w:r>
      <w:r>
        <w:t xml:space="preserve"> </w:t>
      </w:r>
      <w:r>
        <w:t xml:space="preserve">The application</w:t>
      </w:r>
      <w:r>
        <w:t xml:space="preserve"> </w:t>
      </w:r>
      <w:r>
        <w:t xml:space="preserve">“wait for God to speak before making major decisions”</w:t>
      </w:r>
      <w:r>
        <w:t xml:space="preserve"> </w:t>
      </w:r>
      <w:r>
        <w:t xml:space="preserve">may not be wrong as general counsel, but it is not what this passage teaches. The vision is God’s sovereign initiative to address Jacob’s fear — Jacob is not shown seeking it. Preaching this as a template for discernment practice imposes a framework the text does not support and shifts focus from God’s action to human technique.</w:t>
      </w:r>
    </w:p>
    <w:p>
      <w:pPr>
        <w:numPr>
          <w:ilvl w:val="0"/>
          <w:numId w:val="1002"/>
        </w:numPr>
      </w:pPr>
      <w:r>
        <w:rPr>
          <w:b/>
          <w:bCs/>
        </w:rPr>
        <w:t xml:space="preserve">Moralistic use of Jacob’s worship in verse 1.</w:t>
      </w:r>
      <w:r>
        <w:t xml:space="preserve"> </w:t>
      </w:r>
      <w:r>
        <w:t xml:space="preserve">It is tempting to preach</w:t>
      </w:r>
      <w:r>
        <w:t xml:space="preserve"> </w:t>
      </w:r>
      <w:r>
        <w:t xml:space="preserve">“Jacob worshipped first — so should you”</w:t>
      </w:r>
      <w:r>
        <w:t xml:space="preserve"> </w:t>
      </w:r>
      <w:r>
        <w:t xml:space="preserve">as a behavioral application. The more textually accurate observation is that Jacob’s worship at Beersheba is an expression of covenantal identity (he sacrifices to</w:t>
      </w:r>
      <w:r>
        <w:t xml:space="preserve"> </w:t>
      </w:r>
      <w:r>
        <w:t xml:space="preserve">“the God of his father Isaac”</w:t>
      </w:r>
      <w:r>
        <w:t xml:space="preserve">) at a moment of profound uncertainty, and that God responds to this worship with sovereign reassurance. The application is about the orientation of the whole self toward God at the threshold of the unknown — not primarily about worship as a technique that triggers divine response.</w:t>
      </w:r>
    </w:p>
    <w:p>
      <w:pPr>
        <w:numPr>
          <w:ilvl w:val="0"/>
          <w:numId w:val="1002"/>
        </w:numPr>
      </w:pPr>
      <w:r>
        <w:rPr>
          <w:b/>
          <w:bCs/>
        </w:rPr>
        <w:t xml:space="preserve">Flattening</w:t>
      </w:r>
      <w:r>
        <w:rPr>
          <w:b/>
          <w:bCs/>
        </w:rPr>
        <w:t xml:space="preserve"> </w:t>
      </w:r>
      <w:r>
        <w:rPr>
          <w:b/>
          <w:bCs/>
        </w:rPr>
        <w:t xml:space="preserve">“I will bring you back up”</w:t>
      </w:r>
      <w:r>
        <w:rPr>
          <w:b/>
          <w:bCs/>
        </w:rPr>
        <w:t xml:space="preserve"> </w:t>
      </w:r>
      <w:r>
        <w:rPr>
          <w:b/>
          <w:bCs/>
        </w:rPr>
        <w:t xml:space="preserve">to a single fulfillment.</w:t>
      </w:r>
      <w:r>
        <w:t xml:space="preserve"> </w:t>
      </w:r>
      <w:r>
        <w:t xml:space="preserve">Preaching as if the promise is exhausted by either Jacob’s burial in Canaan or the Exodus alone misses the multi-layered structure of covenant promise. The fulfillment is immediate (Jacob’s bones return), national (the Exodus), and typological (Christ’s Egypt-and-return). Collapsing to one level impoverishes the passage; more importantly, it fails to show the reader how covenant promises characteristically exceed their immediate horizon — which is precisely what the passage needs the reader to see about their own circumstances.</w:t>
      </w:r>
    </w:p>
    <w:p>
      <w:pPr>
        <w:numPr>
          <w:ilvl w:val="0"/>
          <w:numId w:val="1002"/>
        </w:numPr>
      </w:pPr>
      <w:r>
        <w:rPr>
          <w:b/>
          <w:bCs/>
        </w:rPr>
        <w:t xml:space="preserve">Neglecting the Judah detail in verse 28.</w:t>
      </w:r>
      <w:r>
        <w:t xml:space="preserve"> </w:t>
      </w:r>
      <w:r>
        <w:t xml:space="preserve">Judah is sent ahead to prepare the way — a small detail with large canonical significance. Judah’s emergence as the family’s leader and spokesman (cf. Genesis 44) is the thread that runs to the blessing of Genesis 49, the Davidic covenant, and Christ’s lineage. A sermon on Genesis 46 that ignores Judah’s role misses an opportunity to trace the covenant’s forward movement through the very family member whose earlier failure (Genesis 38) seemed most disqualifying.</w:t>
      </w:r>
    </w:p>
    <w:p>
      <w:pPr>
        <w:numPr>
          <w:ilvl w:val="0"/>
          <w:numId w:val="1002"/>
        </w:numPr>
      </w:pPr>
      <w:r>
        <w:rPr>
          <w:b/>
          <w:bCs/>
        </w:rPr>
        <w:t xml:space="preserve">Preaching the reunion scene (vv. 29–30) sentimentally rather than theologically.</w:t>
      </w:r>
      <w:r>
        <w:t xml:space="preserve"> </w:t>
      </w:r>
      <w:r>
        <w:t xml:space="preserve">Jacob’s</w:t>
      </w:r>
      <w:r>
        <w:t xml:space="preserve"> </w:t>
      </w:r>
      <w:r>
        <w:t xml:space="preserve">“now let me die”</w:t>
      </w:r>
      <w:r>
        <w:t xml:space="preserve"> </w:t>
      </w:r>
      <w:r>
        <w:t xml:space="preserve">is not simply emotional release — it is covenant language. His words echo the structure of Simeon’s Nunc Dimittis: the covenant servant who has been granted to see what he was promised can depart in peace. The scene is not primarily about family love (though it includes that); it is about a man whose confidence in God’s covenant faithfulness has been vindicated in the most concrete possible way. Reducing it to an emotional reunion misses the theological culmination the text intends.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2026-07-14T21:01:17Z</dcterms:created>
  <dcterms:modified xsi:type="dcterms:W3CDTF">2026-07-14T21:01:17Z</dcterms:modified>
</cp:coreProperties>
</file>

<file path=docProps/custom.xml><?xml version="1.0" encoding="utf-8"?>
<Properties xmlns="http://schemas.openxmlformats.org/officeDocument/2006/custom-properties" xmlns:vt="http://schemas.openxmlformats.org/officeDocument/2006/docPropsVTypes"/>
</file>